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3AED" w14:textId="77777777" w:rsidR="00464F01" w:rsidRDefault="00014E70" w:rsidP="00464F01">
      <w:pPr>
        <w:pStyle w:val="NormalWeb"/>
        <w:ind w:right="-810"/>
        <w:rPr>
          <w:rFonts w:ascii="Calibri" w:hAnsi="Calibri"/>
          <w:b/>
          <w:bCs/>
        </w:rPr>
      </w:pPr>
      <w:r w:rsidRPr="00014E70">
        <w:rPr>
          <w:rFonts w:ascii="Calibri" w:hAnsi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29746A" wp14:editId="18FC682C">
            <wp:simplePos x="0" y="0"/>
            <wp:positionH relativeFrom="column">
              <wp:posOffset>307975</wp:posOffset>
            </wp:positionH>
            <wp:positionV relativeFrom="paragraph">
              <wp:posOffset>275425</wp:posOffset>
            </wp:positionV>
            <wp:extent cx="1450975" cy="647700"/>
            <wp:effectExtent l="0" t="0" r="0" b="0"/>
            <wp:wrapThrough wrapText="bothSides">
              <wp:wrapPolygon edited="0">
                <wp:start x="0" y="0"/>
                <wp:lineTo x="0" y="21176"/>
                <wp:lineTo x="21364" y="21176"/>
                <wp:lineTo x="21364" y="0"/>
                <wp:lineTo x="0" y="0"/>
              </wp:wrapPolygon>
            </wp:wrapThrough>
            <wp:docPr id="7" name="Picture 6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F4CD99-B13F-1849-9448-9C53B10412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EEF4CD99-B13F-1849-9448-9C53B10412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8352" r="10284" b="23976"/>
                    <a:stretch/>
                  </pic:blipFill>
                  <pic:spPr>
                    <a:xfrm>
                      <a:off x="0" y="0"/>
                      <a:ext cx="1450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A894B" w14:textId="40F7305A" w:rsidR="00CA3DD3" w:rsidRPr="00464F01" w:rsidRDefault="00CA3DD3" w:rsidP="009F45A9">
      <w:pPr>
        <w:pStyle w:val="NormalWeb"/>
        <w:spacing w:before="0" w:beforeAutospacing="0"/>
        <w:ind w:right="-810"/>
        <w:rPr>
          <w:rFonts w:ascii="Calibri" w:hAnsi="Calibri"/>
          <w:b/>
          <w:bCs/>
        </w:rPr>
      </w:pPr>
      <w:r w:rsidRPr="00846FEA">
        <w:rPr>
          <w:rFonts w:ascii="Arial" w:hAnsi="Arial" w:cs="Arial"/>
          <w:b/>
          <w:bCs/>
          <w:color w:val="C45911" w:themeColor="accent2" w:themeShade="BF"/>
        </w:rPr>
        <w:t>The</w:t>
      </w:r>
      <w:r w:rsidR="00846FEA" w:rsidRPr="00846FEA">
        <w:rPr>
          <w:rFonts w:ascii="Arial" w:hAnsi="Arial" w:cs="Arial"/>
          <w:b/>
          <w:bCs/>
          <w:color w:val="C45911" w:themeColor="accent2" w:themeShade="BF"/>
        </w:rPr>
        <w:t xml:space="preserve"> ICARUS</w:t>
      </w:r>
      <w:r w:rsidRPr="00846FEA">
        <w:rPr>
          <w:rFonts w:ascii="Arial" w:hAnsi="Arial" w:cs="Arial"/>
          <w:b/>
          <w:bCs/>
          <w:color w:val="C45911" w:themeColor="accent2" w:themeShade="BF"/>
        </w:rPr>
        <w:t xml:space="preserve"> </w:t>
      </w:r>
      <w:r w:rsidR="00846FEA" w:rsidRPr="00846FEA">
        <w:rPr>
          <w:rFonts w:ascii="Arial" w:hAnsi="Arial" w:cs="Arial"/>
          <w:b/>
          <w:bCs/>
          <w:color w:val="C45911" w:themeColor="accent2" w:themeShade="BF"/>
        </w:rPr>
        <w:t>(</w:t>
      </w:r>
      <w:r w:rsidRPr="00846FEA">
        <w:rPr>
          <w:rFonts w:ascii="Arial" w:hAnsi="Arial" w:cs="Arial"/>
          <w:b/>
          <w:bCs/>
          <w:color w:val="C45911" w:themeColor="accent2" w:themeShade="BF"/>
        </w:rPr>
        <w:t xml:space="preserve">Intraoperative Complications Assessment </w:t>
      </w:r>
      <w:r w:rsidR="00464F01">
        <w:rPr>
          <w:rFonts w:ascii="Arial" w:hAnsi="Arial" w:cs="Arial"/>
          <w:b/>
          <w:bCs/>
          <w:color w:val="C45911" w:themeColor="accent2" w:themeShade="BF"/>
        </w:rPr>
        <w:t>&amp;</w:t>
      </w:r>
      <w:r w:rsidRPr="00846FEA">
        <w:rPr>
          <w:rFonts w:ascii="Arial" w:hAnsi="Arial" w:cs="Arial"/>
          <w:b/>
          <w:bCs/>
          <w:color w:val="C45911" w:themeColor="accent2" w:themeShade="BF"/>
        </w:rPr>
        <w:t xml:space="preserve"> Reporting with Universal Standards</w:t>
      </w:r>
      <w:r w:rsidR="00846FEA" w:rsidRPr="00846FEA">
        <w:rPr>
          <w:rFonts w:ascii="Arial" w:hAnsi="Arial" w:cs="Arial"/>
          <w:b/>
          <w:bCs/>
          <w:color w:val="C45911" w:themeColor="accent2" w:themeShade="BF"/>
        </w:rPr>
        <w:t>)</w:t>
      </w:r>
      <w:r w:rsidRPr="00846FEA">
        <w:rPr>
          <w:rFonts w:ascii="Arial" w:hAnsi="Arial" w:cs="Arial"/>
          <w:b/>
          <w:bCs/>
          <w:color w:val="C45911" w:themeColor="accent2" w:themeShade="BF"/>
        </w:rPr>
        <w:t xml:space="preserve"> </w:t>
      </w:r>
      <w:r w:rsidR="00014E70" w:rsidRPr="00846FEA">
        <w:rPr>
          <w:rFonts w:ascii="Arial" w:hAnsi="Arial" w:cs="Arial"/>
          <w:b/>
          <w:bCs/>
          <w:color w:val="C45911" w:themeColor="accent2" w:themeShade="BF"/>
        </w:rPr>
        <w:t>Checklist</w:t>
      </w:r>
      <w:r w:rsidR="00846FEA">
        <w:rPr>
          <w:rFonts w:ascii="Arial" w:hAnsi="Arial" w:cs="Arial"/>
          <w:b/>
          <w:bCs/>
          <w:color w:val="C45911" w:themeColor="accent2" w:themeShade="BF"/>
        </w:rPr>
        <w:t>*</w:t>
      </w:r>
      <w:r w:rsidR="00014E70" w:rsidRPr="00846FEA">
        <w:rPr>
          <w:rFonts w:ascii="Arial" w:hAnsi="Arial" w:cs="Arial"/>
          <w:b/>
          <w:bCs/>
          <w:color w:val="C45911" w:themeColor="accent2" w:themeShade="BF"/>
        </w:rPr>
        <w:t xml:space="preserve">  </w:t>
      </w:r>
    </w:p>
    <w:p w14:paraId="4B08A60E" w14:textId="04EB7310" w:rsidR="00CA3DD3" w:rsidRPr="00846FEA" w:rsidRDefault="00CA3DD3" w:rsidP="009F45A9">
      <w:pPr>
        <w:pStyle w:val="NormalWeb"/>
        <w:spacing w:before="0" w:beforeAutospacing="0"/>
        <w:ind w:left="2070" w:right="-360"/>
        <w:rPr>
          <w:rFonts w:ascii="Arial" w:hAnsi="Arial" w:cs="Arial"/>
          <w:color w:val="000000" w:themeColor="text1"/>
        </w:rPr>
      </w:pPr>
      <w:r w:rsidRPr="00846FEA">
        <w:rPr>
          <w:rFonts w:ascii="Arial" w:hAnsi="Arial" w:cs="Arial"/>
          <w:color w:val="000000" w:themeColor="text1"/>
        </w:rPr>
        <w:t>I</w:t>
      </w:r>
      <w:r w:rsidR="00014E70" w:rsidRPr="00846FEA">
        <w:rPr>
          <w:rFonts w:ascii="Arial" w:hAnsi="Arial" w:cs="Arial"/>
          <w:color w:val="000000" w:themeColor="text1"/>
        </w:rPr>
        <w:t>nformation to include when reporting intraoperative adverse events during and after surgical procedures</w:t>
      </w:r>
    </w:p>
    <w:tbl>
      <w:tblPr>
        <w:tblW w:w="14851" w:type="dxa"/>
        <w:tblInd w:w="53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50"/>
        <w:gridCol w:w="11380"/>
        <w:gridCol w:w="2299"/>
        <w:gridCol w:w="222"/>
      </w:tblGrid>
      <w:tr w:rsidR="009F45A9" w:rsidRPr="00A26EC5" w14:paraId="24599858" w14:textId="77777777" w:rsidTr="00B64476">
        <w:trPr>
          <w:gridAfter w:val="1"/>
          <w:wAfter w:w="222" w:type="dxa"/>
          <w:trHeight w:val="6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7B3C2948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 number</w:t>
            </w:r>
          </w:p>
        </w:tc>
        <w:tc>
          <w:tcPr>
            <w:tcW w:w="1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4E08992E" w14:textId="77777777" w:rsidR="00A26EC5" w:rsidRPr="00A26EC5" w:rsidRDefault="00A26EC5" w:rsidP="009F45A9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3AE95473" w14:textId="522D8B26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Reported in line/page </w:t>
            </w:r>
            <w:r w:rsidR="009F45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and/</w:t>
            </w:r>
            <w:r w:rsidRPr="00A26E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or table</w:t>
            </w:r>
            <w:r w:rsidR="00B64476" w:rsidRPr="005B730B">
              <w:rPr>
                <w:rFonts w:ascii="ArialMT" w:eastAsia="Times New Roman" w:hAnsi="ArialMT" w:cs="Times New Roman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†</w:t>
            </w:r>
          </w:p>
        </w:tc>
      </w:tr>
      <w:tr w:rsidR="009F45A9" w:rsidRPr="00A26EC5" w14:paraId="3C5AFD6B" w14:textId="77777777" w:rsidTr="00B64476">
        <w:trPr>
          <w:gridAfter w:val="1"/>
          <w:wAfter w:w="222" w:type="dxa"/>
          <w:trHeight w:val="293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3645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C7C9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a study reporting perioperative outcomes, the intraoperative adverse events (iAEs) are reported as one of the outcomes of interest 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583D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5A9" w:rsidRPr="00A26EC5" w14:paraId="3DC592BE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C2DF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A60D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DAD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6E3A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2E4F9C72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9B5D89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603ACB" w14:textId="624FBABE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intraoperative adverse events (iAEs)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definition and the 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nomenclature 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 each specific iAE is reported or referenced 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BC586A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9885BF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3719F4BC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93C3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6B37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12D8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B7AC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68D66FCF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B36C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425B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intraoperative adverse event (iAE) is reported using one of the proposed classification severity systems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43F3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F77F2C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0669544F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3437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D78D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378E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1BD4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0F465DA8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D40855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50701C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intraoperative adverse event (iAE) is reported separately by severity grade using one of the proposed classification systems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E9A3BC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3B3AAA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20D06B4F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BDF7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6E97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8A19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A2A6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5FB1D73F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8798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C084" w14:textId="4E48A7A3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Anesthesiologic and surgical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/interventional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/or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equipment malfunctional intraoperative adverse event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(iAEs) 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reported separately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49D1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EDA3CD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4376B0AA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7BAE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9C5A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EFE1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3A4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117477CB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644DCA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0904AB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number of intraoperative adverse events (iAEs) and the number of patients reporting the iAEs is reported separately 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04D621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97B129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74EEA668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7100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E710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3764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C45A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7CB0C7B8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CB56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56EC" w14:textId="6274026E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OLE_LINK3"/>
            <w:bookmarkStart w:id="1" w:name="RANGE!B14"/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Preexisting medical conditions, atypical anatomical variants or malfunctioning surgical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/interventional or anesthesiologic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instruments associated with intraoperative adverse events (iAEs) are reported</w:t>
            </w:r>
            <w:bookmarkEnd w:id="0"/>
            <w:bookmarkEnd w:id="1"/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4372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B66795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70EFEFC9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E325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BB4F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C0BB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A983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0A337255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CEF31F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51C4E8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the intraoperative adverse event (iAE) requires a conversion, both the iAE that caused the conversion and the action undertaken are reported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FBA730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49AB0A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743E5495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D63B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8DD8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6D6A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C19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2A8FB9E3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DF9A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DA02" w14:textId="5D4AE045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intraoperative adverse events (iAEs) are reported specifying the surgical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/interventional step or anesthesiologic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maneuver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was associated with or affected by the iAEs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4802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6840EE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026FC82B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019E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0787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ACEC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9C59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524C4E27" w14:textId="77777777" w:rsidTr="00B64476">
        <w:trPr>
          <w:trHeight w:val="429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55ED830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98769D" w14:textId="2629B2AE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timing of the intraoperative adverse events (iAEs) assessment is reported as follows: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0B5953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6E9B64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EC5" w:rsidRPr="009F45A9" w14:paraId="6722965F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F0DB3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9D7C91" w14:textId="22E5124F" w:rsidR="00A26EC5" w:rsidRPr="00A26EC5" w:rsidRDefault="00A26EC5" w:rsidP="00B64476">
            <w:pPr>
              <w:ind w:left="73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a)    </w:t>
            </w:r>
            <w:r w:rsidR="003933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iAE</w:t>
            </w:r>
            <w:r w:rsidR="003933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(s)</w:t>
            </w: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is recognized during the surgical procedure</w:t>
            </w:r>
            <w:r w:rsidR="00B64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C022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7C30C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EC5" w:rsidRPr="009F45A9" w14:paraId="3E1D21C9" w14:textId="77777777" w:rsidTr="00B64476">
        <w:trPr>
          <w:trHeight w:val="429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EFB3BF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CF7C2D" w14:textId="66232365" w:rsidR="00A26EC5" w:rsidRPr="00A26EC5" w:rsidRDefault="00A26EC5" w:rsidP="00B64476">
            <w:pPr>
              <w:ind w:left="73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b)    </w:t>
            </w:r>
            <w:r w:rsidR="003933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The </w:t>
            </w: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iAE</w:t>
            </w:r>
            <w:r w:rsidR="003933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(s) </w:t>
            </w:r>
            <w:r w:rsidR="0039336F"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</w:t>
            </w: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not recognized during the </w:t>
            </w:r>
            <w:r w:rsidR="003933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surgical/interventional </w:t>
            </w: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procedure</w:t>
            </w:r>
            <w:r w:rsidR="003933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time or anesthesiologic time. In this case</w:t>
            </w: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report the point at which the iAE became apparent in the postoperative course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BC9BA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6B651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EC5" w:rsidRPr="009F45A9" w14:paraId="0F1B627E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E645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E57E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management of the intraoperative adverse events (iAEs) is reported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F97F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D77E77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04EBBDE0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2549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2D1F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E2AB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7CE1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EC5" w:rsidRPr="009F45A9" w14:paraId="1339DA70" w14:textId="77777777" w:rsidTr="00B64476">
        <w:trPr>
          <w:trHeight w:val="429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2DFF0D9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2790B2" w14:textId="219D144E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postoperative consequence of </w:t>
            </w:r>
            <w:r w:rsidR="003933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intraoperative adverse events (iAEs) in the postoperative course are reported as follow: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E6CAAA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F9B8F7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EC5" w:rsidRPr="009F45A9" w14:paraId="3185B282" w14:textId="77777777" w:rsidTr="00B64476">
        <w:trPr>
          <w:trHeight w:val="237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7DB429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754895" w14:textId="77777777" w:rsidR="00A26EC5" w:rsidRPr="00A26EC5" w:rsidRDefault="00A26EC5" w:rsidP="00A26EC5">
            <w:pPr>
              <w:ind w:firstLineChars="400" w:firstLine="8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a)     Without post-operative consequence</w:t>
            </w:r>
          </w:p>
        </w:tc>
        <w:tc>
          <w:tcPr>
            <w:tcW w:w="22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651B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982A4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EC5" w:rsidRPr="009F45A9" w14:paraId="1110E05F" w14:textId="77777777" w:rsidTr="00B64476">
        <w:trPr>
          <w:trHeight w:val="3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1DF27A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EC1694" w14:textId="77777777" w:rsidR="00A26EC5" w:rsidRPr="00A26EC5" w:rsidRDefault="00A26EC5" w:rsidP="00A26EC5">
            <w:pPr>
              <w:ind w:firstLineChars="400" w:firstLine="8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b)     With non-permanent post-operative consequence</w:t>
            </w:r>
          </w:p>
        </w:tc>
        <w:tc>
          <w:tcPr>
            <w:tcW w:w="22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E0BE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FC9C9C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EC5" w:rsidRPr="009F45A9" w14:paraId="5297E1C5" w14:textId="77777777" w:rsidTr="00B64476">
        <w:trPr>
          <w:trHeight w:val="93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7C4BDE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7755B1" w14:textId="77777777" w:rsidR="00A26EC5" w:rsidRPr="00A26EC5" w:rsidRDefault="00A26EC5" w:rsidP="00A26EC5">
            <w:pPr>
              <w:ind w:firstLineChars="400" w:firstLine="8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c)     With a permanent post-operative consequence</w:t>
            </w:r>
          </w:p>
        </w:tc>
        <w:tc>
          <w:tcPr>
            <w:tcW w:w="22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6387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A388B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EC5" w:rsidRPr="009F45A9" w14:paraId="1A457048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BD2207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CF29C2" w14:textId="77777777" w:rsidR="00A26EC5" w:rsidRPr="00A26EC5" w:rsidRDefault="00A26EC5" w:rsidP="00A26EC5">
            <w:pPr>
              <w:ind w:firstLineChars="400" w:firstLine="8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d)     Requiring a re-operation</w:t>
            </w:r>
          </w:p>
        </w:tc>
        <w:tc>
          <w:tcPr>
            <w:tcW w:w="22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A855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2388D7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EC5" w:rsidRPr="009F45A9" w14:paraId="0E2FDB1E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13B44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7B99FC" w14:textId="77777777" w:rsidR="00A26EC5" w:rsidRPr="00A26EC5" w:rsidRDefault="00A26EC5" w:rsidP="00A26EC5">
            <w:pPr>
              <w:ind w:firstLineChars="400" w:firstLine="8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e)     Post-operative death</w:t>
            </w:r>
          </w:p>
        </w:tc>
        <w:tc>
          <w:tcPr>
            <w:tcW w:w="22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432B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50B4AC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EC5" w:rsidRPr="009F45A9" w14:paraId="3AB32B61" w14:textId="77777777" w:rsidTr="00B64476">
        <w:trPr>
          <w:trHeight w:val="24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BCF4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B92D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Changes to the clinical course that were associated with any intraoperative adverse events (iAEs) are reported.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2D9B2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968683" w14:textId="77777777" w:rsidR="00A26EC5" w:rsidRPr="00A26EC5" w:rsidRDefault="00A26EC5" w:rsidP="00A26E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45A9" w:rsidRPr="00A26EC5" w14:paraId="38D2A326" w14:textId="77777777" w:rsidTr="00B64476">
        <w:trPr>
          <w:trHeight w:val="24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EF46" w14:textId="77777777" w:rsidR="00A26EC5" w:rsidRPr="00A26EC5" w:rsidRDefault="00A26EC5" w:rsidP="00A26E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0B65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2006" w14:textId="77777777" w:rsidR="00A26EC5" w:rsidRPr="00A26EC5" w:rsidRDefault="00A26EC5" w:rsidP="00A26E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340" w14:textId="77777777" w:rsidR="00A26EC5" w:rsidRPr="00A26EC5" w:rsidRDefault="00A26EC5" w:rsidP="00A26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3572B2D" w14:textId="6B08420F" w:rsidR="00CA3DD3" w:rsidRDefault="00CA3DD3" w:rsidP="00464F01">
      <w:pPr>
        <w:pStyle w:val="NormalWeb"/>
        <w:ind w:right="-360"/>
        <w:rPr>
          <w:rFonts w:ascii="Calibri" w:hAnsi="Calibri"/>
          <w:b/>
          <w:bCs/>
          <w:sz w:val="26"/>
          <w:szCs w:val="26"/>
        </w:rPr>
      </w:pPr>
    </w:p>
    <w:p w14:paraId="30CA333D" w14:textId="77777777" w:rsidR="005B730B" w:rsidRDefault="005B730B" w:rsidP="005B730B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14:paraId="57B84A28" w14:textId="288477D7" w:rsidR="00B64476" w:rsidRPr="00B64476" w:rsidRDefault="00B64476" w:rsidP="005B730B">
      <w:pPr>
        <w:spacing w:before="100" w:beforeAutospacing="1" w:after="100" w:afterAutospacing="1"/>
        <w:ind w:left="630"/>
        <w:rPr>
          <w:rFonts w:ascii="Arial" w:eastAsia="Times New Roman" w:hAnsi="Arial" w:cs="Arial"/>
          <w:sz w:val="22"/>
          <w:szCs w:val="22"/>
        </w:rPr>
      </w:pPr>
    </w:p>
    <w:p w14:paraId="6445DE6D" w14:textId="17386C84" w:rsidR="00B64476" w:rsidRPr="008D01F6" w:rsidRDefault="00B64476" w:rsidP="008D01F6">
      <w:pPr>
        <w:ind w:left="540"/>
        <w:rPr>
          <w:rFonts w:ascii="Times New Roman" w:eastAsia="Times New Roman" w:hAnsi="Times New Roman" w:cs="Times New Roman"/>
        </w:rPr>
      </w:pPr>
      <w:r w:rsidRPr="005B730B">
        <w:rPr>
          <w:rFonts w:ascii="Arial" w:eastAsia="Times New Roman" w:hAnsi="Arial" w:cs="Arial"/>
          <w:sz w:val="21"/>
          <w:szCs w:val="21"/>
        </w:rPr>
        <w:t xml:space="preserve">* We recommend using this checklist in </w:t>
      </w:r>
      <w:r w:rsidRPr="00074C49">
        <w:rPr>
          <w:rFonts w:ascii="Arial" w:eastAsia="Times New Roman" w:hAnsi="Arial" w:cs="Arial"/>
          <w:sz w:val="21"/>
          <w:szCs w:val="21"/>
        </w:rPr>
        <w:t>combination</w:t>
      </w:r>
      <w:r w:rsidRPr="005B730B">
        <w:rPr>
          <w:rFonts w:ascii="Arial" w:eastAsia="Times New Roman" w:hAnsi="Arial" w:cs="Arial"/>
          <w:sz w:val="21"/>
          <w:szCs w:val="21"/>
        </w:rPr>
        <w:t xml:space="preserve"> with the </w:t>
      </w:r>
      <w:r w:rsidRPr="00074C49">
        <w:rPr>
          <w:rFonts w:ascii="Arial" w:eastAsia="Times New Roman" w:hAnsi="Arial" w:cs="Arial"/>
          <w:sz w:val="21"/>
          <w:szCs w:val="21"/>
        </w:rPr>
        <w:t xml:space="preserve">ICARUS </w:t>
      </w:r>
      <w:r w:rsidRPr="005B730B">
        <w:rPr>
          <w:rFonts w:ascii="Arial" w:eastAsia="Times New Roman" w:hAnsi="Arial" w:cs="Arial"/>
          <w:sz w:val="21"/>
          <w:szCs w:val="21"/>
        </w:rPr>
        <w:t>guide</w:t>
      </w:r>
      <w:r w:rsidR="008D01F6">
        <w:rPr>
          <w:rFonts w:ascii="Arial" w:eastAsia="Times New Roman" w:hAnsi="Arial" w:cs="Arial"/>
          <w:sz w:val="21"/>
          <w:szCs w:val="21"/>
        </w:rPr>
        <w:t xml:space="preserve"> (</w:t>
      </w:r>
      <w:hyperlink r:id="rId8" w:tgtFrame="_blank" w:tooltip="Persistent link using digital object identifier" w:history="1">
        <w:r w:rsidR="008D01F6" w:rsidRPr="008D01F6">
          <w:rPr>
            <w:rFonts w:ascii="Arial" w:eastAsia="Times New Roman" w:hAnsi="Arial" w:cs="Arial"/>
            <w:color w:val="0C7DBB"/>
            <w:sz w:val="21"/>
            <w:szCs w:val="21"/>
            <w:u w:val="single"/>
          </w:rPr>
          <w:t>https://doi.org/10.1016/j.euf.2022.01.018</w:t>
        </w:r>
      </w:hyperlink>
      <w:r w:rsidR="008D01F6">
        <w:rPr>
          <w:rFonts w:ascii="Arial" w:eastAsia="Times New Roman" w:hAnsi="Arial" w:cs="Arial"/>
          <w:sz w:val="21"/>
          <w:szCs w:val="21"/>
        </w:rPr>
        <w:t xml:space="preserve">) </w:t>
      </w:r>
      <w:r w:rsidR="0039336F">
        <w:rPr>
          <w:rFonts w:ascii="Arial" w:eastAsia="Times New Roman" w:hAnsi="Arial" w:cs="Arial"/>
          <w:sz w:val="21"/>
          <w:szCs w:val="21"/>
        </w:rPr>
        <w:t>,</w:t>
      </w:r>
      <w:r w:rsidRPr="005B730B">
        <w:rPr>
          <w:rFonts w:ascii="Arial" w:eastAsia="Times New Roman" w:hAnsi="Arial" w:cs="Arial"/>
          <w:sz w:val="21"/>
          <w:szCs w:val="21"/>
        </w:rPr>
        <w:t xml:space="preserve"> which </w:t>
      </w:r>
      <w:r w:rsidRPr="00074C49">
        <w:rPr>
          <w:rFonts w:ascii="Arial" w:eastAsia="Times New Roman" w:hAnsi="Arial" w:cs="Arial"/>
          <w:sz w:val="21"/>
          <w:szCs w:val="21"/>
        </w:rPr>
        <w:t>includes</w:t>
      </w:r>
      <w:r w:rsidRPr="005B730B">
        <w:rPr>
          <w:rFonts w:ascii="Arial" w:eastAsia="Times New Roman" w:hAnsi="Arial" w:cs="Arial"/>
          <w:sz w:val="21"/>
          <w:szCs w:val="21"/>
        </w:rPr>
        <w:t xml:space="preserve"> an explanation and elaboration for each item. </w:t>
      </w:r>
    </w:p>
    <w:p w14:paraId="152DB77B" w14:textId="77777777" w:rsidR="00074C49" w:rsidRDefault="00074C49" w:rsidP="008D01F6">
      <w:pPr>
        <w:spacing w:before="100" w:beforeAutospacing="1" w:after="100" w:afterAutospacing="1"/>
        <w:ind w:left="5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Note for </w:t>
      </w:r>
      <w:r w:rsidR="005B730B" w:rsidRPr="005B730B">
        <w:rPr>
          <w:rFonts w:ascii="Arial" w:eastAsia="Times New Roman" w:hAnsi="Arial" w:cs="Arial"/>
          <w:b/>
          <w:bCs/>
          <w:sz w:val="21"/>
          <w:szCs w:val="21"/>
        </w:rPr>
        <w:t xml:space="preserve">Authors </w:t>
      </w:r>
      <w:r w:rsidR="005B730B" w:rsidRPr="005B730B">
        <w:rPr>
          <w:rFonts w:ascii="Arial" w:eastAsia="Times New Roman" w:hAnsi="Arial" w:cs="Arial"/>
          <w:sz w:val="21"/>
          <w:szCs w:val="21"/>
        </w:rPr>
        <w:t xml:space="preserve">- use N/A if an item is not applicable for </w:t>
      </w:r>
      <w:r w:rsidR="00B64476" w:rsidRPr="00074C49">
        <w:rPr>
          <w:rFonts w:ascii="Arial" w:eastAsia="Times New Roman" w:hAnsi="Arial" w:cs="Arial"/>
          <w:sz w:val="21"/>
          <w:szCs w:val="21"/>
        </w:rPr>
        <w:t>the type of study</w:t>
      </w:r>
      <w:r w:rsidR="005B730B" w:rsidRPr="005B730B">
        <w:rPr>
          <w:rFonts w:ascii="Arial" w:eastAsia="Times New Roman" w:hAnsi="Arial" w:cs="Arial"/>
          <w:sz w:val="21"/>
          <w:szCs w:val="21"/>
        </w:rPr>
        <w:t xml:space="preserve"> described. </w:t>
      </w:r>
    </w:p>
    <w:p w14:paraId="43A41E39" w14:textId="379C4800" w:rsidR="005B730B" w:rsidRPr="005B730B" w:rsidRDefault="00074C49" w:rsidP="008D01F6">
      <w:pPr>
        <w:spacing w:before="100" w:beforeAutospacing="1" w:after="100" w:afterAutospacing="1"/>
        <w:ind w:left="5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Note for </w:t>
      </w:r>
      <w:r w:rsidR="005B730B" w:rsidRPr="005B730B">
        <w:rPr>
          <w:rFonts w:ascii="Arial" w:eastAsia="Times New Roman" w:hAnsi="Arial" w:cs="Arial"/>
          <w:b/>
          <w:bCs/>
          <w:sz w:val="21"/>
          <w:szCs w:val="21"/>
        </w:rPr>
        <w:t xml:space="preserve">Reviewers </w:t>
      </w:r>
      <w:r w:rsidR="005B730B" w:rsidRPr="005B730B">
        <w:rPr>
          <w:rFonts w:ascii="Arial" w:eastAsia="Times New Roman" w:hAnsi="Arial" w:cs="Arial"/>
          <w:sz w:val="21"/>
          <w:szCs w:val="21"/>
        </w:rPr>
        <w:t xml:space="preserve">– use ‘?’ if information about the </w:t>
      </w:r>
      <w:r w:rsidR="0070493D" w:rsidRPr="00074C49">
        <w:rPr>
          <w:rFonts w:ascii="Arial" w:eastAsia="Times New Roman" w:hAnsi="Arial" w:cs="Arial"/>
          <w:sz w:val="21"/>
          <w:szCs w:val="21"/>
        </w:rPr>
        <w:t>component</w:t>
      </w:r>
      <w:r w:rsidR="005B730B" w:rsidRPr="005B730B">
        <w:rPr>
          <w:rFonts w:ascii="Arial" w:eastAsia="Times New Roman" w:hAnsi="Arial" w:cs="Arial"/>
          <w:sz w:val="21"/>
          <w:szCs w:val="21"/>
        </w:rPr>
        <w:t xml:space="preserve"> is not reported/not sufficiently reported. </w:t>
      </w:r>
    </w:p>
    <w:p w14:paraId="44006E37" w14:textId="337FA4DA" w:rsidR="005B730B" w:rsidRPr="005B730B" w:rsidRDefault="005B730B" w:rsidP="008D01F6">
      <w:pPr>
        <w:spacing w:before="100" w:beforeAutospacing="1" w:after="100" w:afterAutospacing="1"/>
        <w:ind w:left="540"/>
        <w:rPr>
          <w:rFonts w:ascii="Arial" w:eastAsia="Times New Roman" w:hAnsi="Arial" w:cs="Arial"/>
          <w:sz w:val="21"/>
          <w:szCs w:val="21"/>
        </w:rPr>
      </w:pPr>
      <w:r w:rsidRPr="005B730B">
        <w:rPr>
          <w:rFonts w:ascii="Arial" w:eastAsia="Times New Roman" w:hAnsi="Arial" w:cs="Arial"/>
          <w:sz w:val="21"/>
          <w:szCs w:val="21"/>
          <w:vertAlign w:val="superscript"/>
        </w:rPr>
        <w:t>†</w:t>
      </w:r>
      <w:r w:rsidRPr="005B730B">
        <w:rPr>
          <w:rFonts w:ascii="Arial" w:eastAsia="Times New Roman" w:hAnsi="Arial" w:cs="Arial"/>
          <w:sz w:val="21"/>
          <w:szCs w:val="21"/>
        </w:rPr>
        <w:t xml:space="preserve"> If the information is not </w:t>
      </w:r>
      <w:r w:rsidR="00B64476" w:rsidRPr="00074C49">
        <w:rPr>
          <w:rFonts w:ascii="Arial" w:eastAsia="Times New Roman" w:hAnsi="Arial" w:cs="Arial"/>
          <w:sz w:val="21"/>
          <w:szCs w:val="21"/>
        </w:rPr>
        <w:t>specified</w:t>
      </w:r>
      <w:r w:rsidRPr="005B730B">
        <w:rPr>
          <w:rFonts w:ascii="Arial" w:eastAsia="Times New Roman" w:hAnsi="Arial" w:cs="Arial"/>
          <w:sz w:val="21"/>
          <w:szCs w:val="21"/>
        </w:rPr>
        <w:t xml:space="preserve"> in the primary paper, </w:t>
      </w:r>
      <w:r w:rsidR="00B64476" w:rsidRPr="00074C49">
        <w:rPr>
          <w:rFonts w:ascii="Arial" w:eastAsia="Times New Roman" w:hAnsi="Arial" w:cs="Arial"/>
          <w:sz w:val="21"/>
          <w:szCs w:val="21"/>
        </w:rPr>
        <w:t>report</w:t>
      </w:r>
      <w:r w:rsidRPr="005B730B">
        <w:rPr>
          <w:rFonts w:ascii="Arial" w:eastAsia="Times New Roman" w:hAnsi="Arial" w:cs="Arial"/>
          <w:sz w:val="21"/>
          <w:szCs w:val="21"/>
        </w:rPr>
        <w:t xml:space="preserve"> details of where this information is </w:t>
      </w:r>
      <w:r w:rsidR="00B64476" w:rsidRPr="00074C49">
        <w:rPr>
          <w:rFonts w:ascii="Arial" w:eastAsia="Times New Roman" w:hAnsi="Arial" w:cs="Arial"/>
          <w:sz w:val="21"/>
          <w:szCs w:val="21"/>
        </w:rPr>
        <w:t>obtainable</w:t>
      </w:r>
      <w:r w:rsidRPr="005B730B">
        <w:rPr>
          <w:rFonts w:ascii="Arial" w:eastAsia="Times New Roman" w:hAnsi="Arial" w:cs="Arial"/>
          <w:sz w:val="21"/>
          <w:szCs w:val="21"/>
        </w:rPr>
        <w:t>. This may include locations such as a published protocol</w:t>
      </w:r>
      <w:r w:rsidR="009F25C0">
        <w:rPr>
          <w:rFonts w:ascii="Arial" w:eastAsia="Times New Roman" w:hAnsi="Arial" w:cs="Arial"/>
          <w:sz w:val="21"/>
          <w:szCs w:val="21"/>
        </w:rPr>
        <w:t>, other published papers (provide citation details),</w:t>
      </w:r>
      <w:r w:rsidRPr="005B730B">
        <w:rPr>
          <w:rFonts w:ascii="Arial" w:eastAsia="Times New Roman" w:hAnsi="Arial" w:cs="Arial"/>
          <w:sz w:val="21"/>
          <w:szCs w:val="21"/>
        </w:rPr>
        <w:t xml:space="preserve"> or a website (provide the URL). </w:t>
      </w:r>
    </w:p>
    <w:p w14:paraId="45D74179" w14:textId="77777777" w:rsidR="005B730B" w:rsidRDefault="005B730B" w:rsidP="00464F01">
      <w:pPr>
        <w:pStyle w:val="NormalWeb"/>
        <w:ind w:right="-360"/>
        <w:rPr>
          <w:rFonts w:ascii="Calibri" w:hAnsi="Calibri"/>
          <w:b/>
          <w:bCs/>
          <w:sz w:val="26"/>
          <w:szCs w:val="26"/>
        </w:rPr>
      </w:pPr>
    </w:p>
    <w:p w14:paraId="0FFE060E" w14:textId="1F3B0DE5" w:rsidR="009F45A9" w:rsidRDefault="009F45A9" w:rsidP="00464F01">
      <w:pPr>
        <w:pStyle w:val="NormalWeb"/>
        <w:ind w:right="-360"/>
        <w:rPr>
          <w:rFonts w:ascii="Calibri" w:hAnsi="Calibri"/>
          <w:b/>
          <w:bCs/>
          <w:sz w:val="26"/>
          <w:szCs w:val="26"/>
        </w:rPr>
      </w:pPr>
    </w:p>
    <w:p w14:paraId="3790D69E" w14:textId="77777777" w:rsidR="009F45A9" w:rsidRPr="0099641E" w:rsidRDefault="009F45A9" w:rsidP="009F45A9">
      <w:pPr>
        <w:pStyle w:val="NormalWeb"/>
        <w:ind w:left="630" w:right="-360"/>
        <w:rPr>
          <w:rFonts w:ascii="Calibri" w:hAnsi="Calibri"/>
          <w:b/>
          <w:bCs/>
          <w:sz w:val="26"/>
          <w:szCs w:val="26"/>
        </w:rPr>
      </w:pPr>
    </w:p>
    <w:sectPr w:rsidR="009F45A9" w:rsidRPr="0099641E" w:rsidSect="005B730B">
      <w:pgSz w:w="15840" w:h="12240" w:orient="landscape"/>
      <w:pgMar w:top="0" w:right="639" w:bottom="279" w:left="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15B4" w14:textId="77777777" w:rsidR="00DA1E01" w:rsidRDefault="00DA1E01" w:rsidP="00014E70">
      <w:r>
        <w:separator/>
      </w:r>
    </w:p>
  </w:endnote>
  <w:endnote w:type="continuationSeparator" w:id="0">
    <w:p w14:paraId="28BDA7F0" w14:textId="77777777" w:rsidR="00DA1E01" w:rsidRDefault="00DA1E01" w:rsidP="0001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F8B3" w14:textId="77777777" w:rsidR="00DA1E01" w:rsidRDefault="00DA1E01" w:rsidP="00014E70">
      <w:r>
        <w:separator/>
      </w:r>
    </w:p>
  </w:footnote>
  <w:footnote w:type="continuationSeparator" w:id="0">
    <w:p w14:paraId="13C5E7CF" w14:textId="77777777" w:rsidR="00DA1E01" w:rsidRDefault="00DA1E01" w:rsidP="0001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AB"/>
    <w:rsid w:val="00001725"/>
    <w:rsid w:val="000024FE"/>
    <w:rsid w:val="00002EA2"/>
    <w:rsid w:val="00014E70"/>
    <w:rsid w:val="00015F66"/>
    <w:rsid w:val="0002787A"/>
    <w:rsid w:val="0003060E"/>
    <w:rsid w:val="00032135"/>
    <w:rsid w:val="000403FD"/>
    <w:rsid w:val="000405A0"/>
    <w:rsid w:val="00052072"/>
    <w:rsid w:val="00060A8F"/>
    <w:rsid w:val="00061600"/>
    <w:rsid w:val="00063044"/>
    <w:rsid w:val="00074966"/>
    <w:rsid w:val="00074C49"/>
    <w:rsid w:val="00077D32"/>
    <w:rsid w:val="000A26C9"/>
    <w:rsid w:val="000A67CB"/>
    <w:rsid w:val="000B04EE"/>
    <w:rsid w:val="000B6BC2"/>
    <w:rsid w:val="000C3B4C"/>
    <w:rsid w:val="000C7383"/>
    <w:rsid w:val="000D3613"/>
    <w:rsid w:val="000D4EB1"/>
    <w:rsid w:val="000E2BBA"/>
    <w:rsid w:val="000F03E9"/>
    <w:rsid w:val="001016D8"/>
    <w:rsid w:val="00124B78"/>
    <w:rsid w:val="0013288A"/>
    <w:rsid w:val="00144CC7"/>
    <w:rsid w:val="00151DCB"/>
    <w:rsid w:val="001546E8"/>
    <w:rsid w:val="0016119E"/>
    <w:rsid w:val="00161E4E"/>
    <w:rsid w:val="001673E8"/>
    <w:rsid w:val="001760EA"/>
    <w:rsid w:val="00176D75"/>
    <w:rsid w:val="00191344"/>
    <w:rsid w:val="00195C0A"/>
    <w:rsid w:val="001A287A"/>
    <w:rsid w:val="001A58BC"/>
    <w:rsid w:val="001A7328"/>
    <w:rsid w:val="001B0BD8"/>
    <w:rsid w:val="001B2510"/>
    <w:rsid w:val="001B302A"/>
    <w:rsid w:val="001B6E75"/>
    <w:rsid w:val="001C5A1E"/>
    <w:rsid w:val="001C6B05"/>
    <w:rsid w:val="001D23D8"/>
    <w:rsid w:val="001D45D8"/>
    <w:rsid w:val="001D5B3D"/>
    <w:rsid w:val="001E012D"/>
    <w:rsid w:val="001E1BB7"/>
    <w:rsid w:val="001F1ABF"/>
    <w:rsid w:val="001F2425"/>
    <w:rsid w:val="001F3CDB"/>
    <w:rsid w:val="001F6A24"/>
    <w:rsid w:val="002052BC"/>
    <w:rsid w:val="00205771"/>
    <w:rsid w:val="00224A1A"/>
    <w:rsid w:val="00232F03"/>
    <w:rsid w:val="002350CD"/>
    <w:rsid w:val="002375D6"/>
    <w:rsid w:val="002423DF"/>
    <w:rsid w:val="00244547"/>
    <w:rsid w:val="0025250C"/>
    <w:rsid w:val="0025687E"/>
    <w:rsid w:val="0026165F"/>
    <w:rsid w:val="00270FCB"/>
    <w:rsid w:val="00277B18"/>
    <w:rsid w:val="00286D61"/>
    <w:rsid w:val="0028799C"/>
    <w:rsid w:val="00291E1B"/>
    <w:rsid w:val="00295B68"/>
    <w:rsid w:val="002A7F3A"/>
    <w:rsid w:val="002B0116"/>
    <w:rsid w:val="002B24C1"/>
    <w:rsid w:val="002B6F55"/>
    <w:rsid w:val="002B75B3"/>
    <w:rsid w:val="002C3516"/>
    <w:rsid w:val="002D6716"/>
    <w:rsid w:val="002E32E6"/>
    <w:rsid w:val="002F2FB8"/>
    <w:rsid w:val="00300054"/>
    <w:rsid w:val="003054FB"/>
    <w:rsid w:val="00306F66"/>
    <w:rsid w:val="0031088C"/>
    <w:rsid w:val="00323ED8"/>
    <w:rsid w:val="00332871"/>
    <w:rsid w:val="00352FFF"/>
    <w:rsid w:val="00353E12"/>
    <w:rsid w:val="00355B70"/>
    <w:rsid w:val="003710D6"/>
    <w:rsid w:val="00384EBE"/>
    <w:rsid w:val="00385BDB"/>
    <w:rsid w:val="0039336F"/>
    <w:rsid w:val="0039495C"/>
    <w:rsid w:val="0039627B"/>
    <w:rsid w:val="003A1D82"/>
    <w:rsid w:val="003A2FA0"/>
    <w:rsid w:val="003B2C4A"/>
    <w:rsid w:val="003C4EDE"/>
    <w:rsid w:val="003D1C00"/>
    <w:rsid w:val="003D588A"/>
    <w:rsid w:val="003D64E0"/>
    <w:rsid w:val="003F22A6"/>
    <w:rsid w:val="00413563"/>
    <w:rsid w:val="00424255"/>
    <w:rsid w:val="00426489"/>
    <w:rsid w:val="0042660C"/>
    <w:rsid w:val="00450D0F"/>
    <w:rsid w:val="00452C21"/>
    <w:rsid w:val="00454E3A"/>
    <w:rsid w:val="004559F5"/>
    <w:rsid w:val="00460C95"/>
    <w:rsid w:val="00461233"/>
    <w:rsid w:val="00464F01"/>
    <w:rsid w:val="00474EC3"/>
    <w:rsid w:val="00476096"/>
    <w:rsid w:val="00483D0C"/>
    <w:rsid w:val="004924BD"/>
    <w:rsid w:val="00492928"/>
    <w:rsid w:val="004941A3"/>
    <w:rsid w:val="004A1016"/>
    <w:rsid w:val="004A572B"/>
    <w:rsid w:val="004A6BF2"/>
    <w:rsid w:val="004C10AD"/>
    <w:rsid w:val="004C1C76"/>
    <w:rsid w:val="004C2864"/>
    <w:rsid w:val="004C5FF8"/>
    <w:rsid w:val="004D7D47"/>
    <w:rsid w:val="004F63E1"/>
    <w:rsid w:val="004F6B80"/>
    <w:rsid w:val="004F6C22"/>
    <w:rsid w:val="00503C5F"/>
    <w:rsid w:val="00504456"/>
    <w:rsid w:val="0050730E"/>
    <w:rsid w:val="005075DA"/>
    <w:rsid w:val="00512A5E"/>
    <w:rsid w:val="00513879"/>
    <w:rsid w:val="00520E48"/>
    <w:rsid w:val="00533CFE"/>
    <w:rsid w:val="005402B4"/>
    <w:rsid w:val="00546003"/>
    <w:rsid w:val="005546AC"/>
    <w:rsid w:val="00554F56"/>
    <w:rsid w:val="00556E44"/>
    <w:rsid w:val="00560D9E"/>
    <w:rsid w:val="00565F23"/>
    <w:rsid w:val="005821FC"/>
    <w:rsid w:val="00583B6B"/>
    <w:rsid w:val="00584999"/>
    <w:rsid w:val="00586C06"/>
    <w:rsid w:val="00593C3A"/>
    <w:rsid w:val="00594935"/>
    <w:rsid w:val="005B223A"/>
    <w:rsid w:val="005B5920"/>
    <w:rsid w:val="005B730B"/>
    <w:rsid w:val="005B7A13"/>
    <w:rsid w:val="005C25A3"/>
    <w:rsid w:val="005C3B52"/>
    <w:rsid w:val="005C6C79"/>
    <w:rsid w:val="005D66CE"/>
    <w:rsid w:val="005D68D9"/>
    <w:rsid w:val="005E0A48"/>
    <w:rsid w:val="005E7A92"/>
    <w:rsid w:val="005F0C9A"/>
    <w:rsid w:val="005F1F72"/>
    <w:rsid w:val="0061331F"/>
    <w:rsid w:val="00614C75"/>
    <w:rsid w:val="00616936"/>
    <w:rsid w:val="0062368E"/>
    <w:rsid w:val="00625369"/>
    <w:rsid w:val="00627AAF"/>
    <w:rsid w:val="006369CA"/>
    <w:rsid w:val="00637369"/>
    <w:rsid w:val="00655730"/>
    <w:rsid w:val="00657914"/>
    <w:rsid w:val="006652E7"/>
    <w:rsid w:val="00670E1C"/>
    <w:rsid w:val="00671870"/>
    <w:rsid w:val="006776DF"/>
    <w:rsid w:val="006777ED"/>
    <w:rsid w:val="00682AD7"/>
    <w:rsid w:val="00687430"/>
    <w:rsid w:val="00691221"/>
    <w:rsid w:val="00697174"/>
    <w:rsid w:val="00697B72"/>
    <w:rsid w:val="006B74B4"/>
    <w:rsid w:val="006C04A7"/>
    <w:rsid w:val="006D73CF"/>
    <w:rsid w:val="006E116C"/>
    <w:rsid w:val="006F1F1D"/>
    <w:rsid w:val="00702B92"/>
    <w:rsid w:val="0070493D"/>
    <w:rsid w:val="0070782E"/>
    <w:rsid w:val="007173A8"/>
    <w:rsid w:val="007250E3"/>
    <w:rsid w:val="00731C46"/>
    <w:rsid w:val="00744662"/>
    <w:rsid w:val="007453F2"/>
    <w:rsid w:val="007540A9"/>
    <w:rsid w:val="0076798D"/>
    <w:rsid w:val="00786E7F"/>
    <w:rsid w:val="0078781D"/>
    <w:rsid w:val="007A56F3"/>
    <w:rsid w:val="007B033B"/>
    <w:rsid w:val="007B0678"/>
    <w:rsid w:val="007B06DF"/>
    <w:rsid w:val="007C400F"/>
    <w:rsid w:val="007C5822"/>
    <w:rsid w:val="007F0B97"/>
    <w:rsid w:val="007F46F7"/>
    <w:rsid w:val="00800C71"/>
    <w:rsid w:val="00804E46"/>
    <w:rsid w:val="00805706"/>
    <w:rsid w:val="00805731"/>
    <w:rsid w:val="00807691"/>
    <w:rsid w:val="00833BCF"/>
    <w:rsid w:val="0083747A"/>
    <w:rsid w:val="00837F25"/>
    <w:rsid w:val="0084411F"/>
    <w:rsid w:val="00846FEA"/>
    <w:rsid w:val="00851E93"/>
    <w:rsid w:val="00860E0E"/>
    <w:rsid w:val="008806FB"/>
    <w:rsid w:val="008842B2"/>
    <w:rsid w:val="00886A90"/>
    <w:rsid w:val="008B52C2"/>
    <w:rsid w:val="008C40E7"/>
    <w:rsid w:val="008C60E8"/>
    <w:rsid w:val="008D01F6"/>
    <w:rsid w:val="008F5E23"/>
    <w:rsid w:val="008F7582"/>
    <w:rsid w:val="009126A3"/>
    <w:rsid w:val="0091436F"/>
    <w:rsid w:val="009174C8"/>
    <w:rsid w:val="009207F3"/>
    <w:rsid w:val="00922A91"/>
    <w:rsid w:val="00941436"/>
    <w:rsid w:val="00942B3F"/>
    <w:rsid w:val="00945BCE"/>
    <w:rsid w:val="00950B1A"/>
    <w:rsid w:val="0096606C"/>
    <w:rsid w:val="00972C14"/>
    <w:rsid w:val="0097391B"/>
    <w:rsid w:val="0098688C"/>
    <w:rsid w:val="009939EB"/>
    <w:rsid w:val="0099434D"/>
    <w:rsid w:val="0099641E"/>
    <w:rsid w:val="009A4460"/>
    <w:rsid w:val="009B1B45"/>
    <w:rsid w:val="009C3787"/>
    <w:rsid w:val="009D3FDF"/>
    <w:rsid w:val="009E43E7"/>
    <w:rsid w:val="009F08C8"/>
    <w:rsid w:val="009F25C0"/>
    <w:rsid w:val="009F2825"/>
    <w:rsid w:val="009F45A9"/>
    <w:rsid w:val="00A1398D"/>
    <w:rsid w:val="00A14A68"/>
    <w:rsid w:val="00A14EDE"/>
    <w:rsid w:val="00A22174"/>
    <w:rsid w:val="00A2277D"/>
    <w:rsid w:val="00A26DD4"/>
    <w:rsid w:val="00A26EC5"/>
    <w:rsid w:val="00A32C2D"/>
    <w:rsid w:val="00A37B43"/>
    <w:rsid w:val="00A51D80"/>
    <w:rsid w:val="00A6191B"/>
    <w:rsid w:val="00A66CA8"/>
    <w:rsid w:val="00A66DBF"/>
    <w:rsid w:val="00A758BF"/>
    <w:rsid w:val="00A77CB8"/>
    <w:rsid w:val="00A86C1E"/>
    <w:rsid w:val="00AC2664"/>
    <w:rsid w:val="00AC2F96"/>
    <w:rsid w:val="00AC408A"/>
    <w:rsid w:val="00AC54DF"/>
    <w:rsid w:val="00AD63AB"/>
    <w:rsid w:val="00AE1F50"/>
    <w:rsid w:val="00AF7F6B"/>
    <w:rsid w:val="00B0571B"/>
    <w:rsid w:val="00B058F4"/>
    <w:rsid w:val="00B216AE"/>
    <w:rsid w:val="00B32288"/>
    <w:rsid w:val="00B41956"/>
    <w:rsid w:val="00B542CD"/>
    <w:rsid w:val="00B55136"/>
    <w:rsid w:val="00B574DC"/>
    <w:rsid w:val="00B64476"/>
    <w:rsid w:val="00B74F27"/>
    <w:rsid w:val="00B75FCA"/>
    <w:rsid w:val="00B80C81"/>
    <w:rsid w:val="00B910E2"/>
    <w:rsid w:val="00B950DC"/>
    <w:rsid w:val="00B96A50"/>
    <w:rsid w:val="00B96B73"/>
    <w:rsid w:val="00BA574F"/>
    <w:rsid w:val="00BA6AA0"/>
    <w:rsid w:val="00BB18FF"/>
    <w:rsid w:val="00BE012A"/>
    <w:rsid w:val="00BE0B29"/>
    <w:rsid w:val="00BE346C"/>
    <w:rsid w:val="00BE3DD6"/>
    <w:rsid w:val="00BE4F74"/>
    <w:rsid w:val="00BF4714"/>
    <w:rsid w:val="00BF6C41"/>
    <w:rsid w:val="00C035D6"/>
    <w:rsid w:val="00C04932"/>
    <w:rsid w:val="00C05C30"/>
    <w:rsid w:val="00C13920"/>
    <w:rsid w:val="00C14ADD"/>
    <w:rsid w:val="00C20DA6"/>
    <w:rsid w:val="00C21CE5"/>
    <w:rsid w:val="00C34DF7"/>
    <w:rsid w:val="00C61266"/>
    <w:rsid w:val="00C64B1B"/>
    <w:rsid w:val="00C81FD1"/>
    <w:rsid w:val="00C86E18"/>
    <w:rsid w:val="00C90AA7"/>
    <w:rsid w:val="00C96B57"/>
    <w:rsid w:val="00CA19E2"/>
    <w:rsid w:val="00CA3DD3"/>
    <w:rsid w:val="00CA7175"/>
    <w:rsid w:val="00CB57F2"/>
    <w:rsid w:val="00CB6A68"/>
    <w:rsid w:val="00CC1EBF"/>
    <w:rsid w:val="00CC2BFC"/>
    <w:rsid w:val="00CC6DC1"/>
    <w:rsid w:val="00CD1F87"/>
    <w:rsid w:val="00CD2B1E"/>
    <w:rsid w:val="00CD7D96"/>
    <w:rsid w:val="00CE00FD"/>
    <w:rsid w:val="00CE2022"/>
    <w:rsid w:val="00CF1282"/>
    <w:rsid w:val="00CF7C7A"/>
    <w:rsid w:val="00D04189"/>
    <w:rsid w:val="00D219B8"/>
    <w:rsid w:val="00D23E93"/>
    <w:rsid w:val="00D31042"/>
    <w:rsid w:val="00D35A59"/>
    <w:rsid w:val="00D44ACA"/>
    <w:rsid w:val="00D50CFC"/>
    <w:rsid w:val="00D518F1"/>
    <w:rsid w:val="00D5268B"/>
    <w:rsid w:val="00D63ABF"/>
    <w:rsid w:val="00D734F3"/>
    <w:rsid w:val="00D742F4"/>
    <w:rsid w:val="00D743B9"/>
    <w:rsid w:val="00D76453"/>
    <w:rsid w:val="00D77425"/>
    <w:rsid w:val="00DA1E01"/>
    <w:rsid w:val="00DA208E"/>
    <w:rsid w:val="00DB16C7"/>
    <w:rsid w:val="00DD2A36"/>
    <w:rsid w:val="00DD2E03"/>
    <w:rsid w:val="00DE0BB1"/>
    <w:rsid w:val="00DE537D"/>
    <w:rsid w:val="00DF06ED"/>
    <w:rsid w:val="00DF3476"/>
    <w:rsid w:val="00DF43AD"/>
    <w:rsid w:val="00DF69D9"/>
    <w:rsid w:val="00E117BC"/>
    <w:rsid w:val="00E227CA"/>
    <w:rsid w:val="00E270AF"/>
    <w:rsid w:val="00E378F8"/>
    <w:rsid w:val="00E4477A"/>
    <w:rsid w:val="00E52026"/>
    <w:rsid w:val="00E57348"/>
    <w:rsid w:val="00E57B8F"/>
    <w:rsid w:val="00E65E54"/>
    <w:rsid w:val="00E67298"/>
    <w:rsid w:val="00E77EC6"/>
    <w:rsid w:val="00E95321"/>
    <w:rsid w:val="00E974C7"/>
    <w:rsid w:val="00EA60BE"/>
    <w:rsid w:val="00EB0D70"/>
    <w:rsid w:val="00EB3258"/>
    <w:rsid w:val="00EB6592"/>
    <w:rsid w:val="00EB797D"/>
    <w:rsid w:val="00EC6203"/>
    <w:rsid w:val="00ED09AC"/>
    <w:rsid w:val="00ED25F3"/>
    <w:rsid w:val="00ED631B"/>
    <w:rsid w:val="00EE7B93"/>
    <w:rsid w:val="00F0097E"/>
    <w:rsid w:val="00F02C49"/>
    <w:rsid w:val="00F06848"/>
    <w:rsid w:val="00F069AA"/>
    <w:rsid w:val="00F174F2"/>
    <w:rsid w:val="00F22916"/>
    <w:rsid w:val="00F25C08"/>
    <w:rsid w:val="00F2617D"/>
    <w:rsid w:val="00F56D07"/>
    <w:rsid w:val="00F65CA4"/>
    <w:rsid w:val="00F72585"/>
    <w:rsid w:val="00F72EA4"/>
    <w:rsid w:val="00F7411E"/>
    <w:rsid w:val="00F75CCA"/>
    <w:rsid w:val="00F80737"/>
    <w:rsid w:val="00F958C4"/>
    <w:rsid w:val="00F9735A"/>
    <w:rsid w:val="00FC6735"/>
    <w:rsid w:val="00FE5AE4"/>
    <w:rsid w:val="00FE7A1B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DAC91"/>
  <w15:chartTrackingRefBased/>
  <w15:docId w15:val="{C4119D6C-5461-1549-A414-A8480590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70"/>
  </w:style>
  <w:style w:type="paragraph" w:styleId="Footer">
    <w:name w:val="footer"/>
    <w:basedOn w:val="Normal"/>
    <w:link w:val="FooterChar"/>
    <w:uiPriority w:val="99"/>
    <w:unhideWhenUsed/>
    <w:rsid w:val="0001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70"/>
  </w:style>
  <w:style w:type="paragraph" w:styleId="NormalWeb">
    <w:name w:val="Normal (Web)"/>
    <w:basedOn w:val="Normal"/>
    <w:uiPriority w:val="99"/>
    <w:unhideWhenUsed/>
    <w:rsid w:val="00014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D0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uf.2022.01.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4DAD97-A3E2-334D-8126-8CEE882D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Cacciamani, Giovanni</dc:creator>
  <cp:keywords/>
  <dc:description/>
  <cp:lastModifiedBy>Shona Kirtley</cp:lastModifiedBy>
  <cp:revision>2</cp:revision>
  <dcterms:created xsi:type="dcterms:W3CDTF">2022-09-13T11:40:00Z</dcterms:created>
  <dcterms:modified xsi:type="dcterms:W3CDTF">2022-09-13T11:40:00Z</dcterms:modified>
</cp:coreProperties>
</file>